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67DCE33B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644F7B">
        <w:rPr>
          <w:rFonts w:ascii="Graphik Bold" w:hAnsi="Graphik Bold" w:cs="Arial"/>
          <w:sz w:val="28"/>
        </w:rPr>
        <w:t xml:space="preserve">30 </w:t>
      </w:r>
      <w:r w:rsidR="00DA2440">
        <w:rPr>
          <w:rFonts w:ascii="Graphik Bold" w:hAnsi="Graphik Bold" w:cs="Arial"/>
          <w:sz w:val="28"/>
        </w:rPr>
        <w:t>DE SEPTIEMBRE</w:t>
      </w:r>
      <w:r w:rsidR="00644F7B">
        <w:rPr>
          <w:rFonts w:ascii="Graphik Bold" w:hAnsi="Graphik Bold" w:cs="Arial"/>
          <w:sz w:val="28"/>
        </w:rPr>
        <w:t xml:space="preserve"> </w:t>
      </w:r>
      <w:r w:rsidR="00C0722B">
        <w:rPr>
          <w:rFonts w:ascii="Graphik Bold" w:hAnsi="Graphik Bold" w:cs="Arial"/>
          <w:sz w:val="28"/>
        </w:rPr>
        <w:t>DE 20</w:t>
      </w:r>
      <w:r w:rsidR="003B0706">
        <w:rPr>
          <w:rFonts w:ascii="Graphik Bold" w:hAnsi="Graphik Bold" w:cs="Arial"/>
          <w:sz w:val="28"/>
        </w:rPr>
        <w:t>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116EC5E7" w14:textId="77777777" w:rsidR="002B5465" w:rsidRPr="006B5DE7" w:rsidRDefault="002B5465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19F57BD7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DA2440">
        <w:rPr>
          <w:rFonts w:ascii="Graphik Regular" w:hAnsi="Graphik Regular" w:cs="Arial"/>
          <w:b/>
          <w:sz w:val="24"/>
          <w:szCs w:val="24"/>
        </w:rPr>
        <w:t>septiembre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</w:t>
      </w:r>
      <w:proofErr w:type="spellStart"/>
      <w:r w:rsidR="004A749B">
        <w:rPr>
          <w:rFonts w:ascii="Graphik Regular" w:hAnsi="Graphik Regular" w:cs="Arial"/>
          <w:b/>
          <w:sz w:val="24"/>
          <w:szCs w:val="24"/>
        </w:rPr>
        <w:t>de</w:t>
      </w:r>
      <w:proofErr w:type="spellEnd"/>
      <w:r w:rsidR="004A749B">
        <w:rPr>
          <w:rFonts w:ascii="Graphik Regular" w:hAnsi="Graphik Regular" w:cs="Arial"/>
          <w:b/>
          <w:sz w:val="24"/>
          <w:szCs w:val="24"/>
        </w:rPr>
        <w:t xml:space="preserve">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</w:t>
      </w:r>
      <w:bookmarkStart w:id="0" w:name="_GoBack"/>
      <w:bookmarkEnd w:id="0"/>
      <w:r w:rsidR="007A489C">
        <w:rPr>
          <w:rFonts w:ascii="Graphik Regular" w:hAnsi="Graphik Regular" w:cs="Arial"/>
          <w:sz w:val="24"/>
          <w:szCs w:val="24"/>
        </w:rPr>
        <w:t>ederales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389A45A6" w14:textId="77777777" w:rsidR="002B5465" w:rsidRPr="006B5DE7" w:rsidRDefault="002B5465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644F7B">
      <w:pPr>
        <w:spacing w:after="0" w:line="240" w:lineRule="auto"/>
        <w:jc w:val="center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648D3E0B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199212F3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13EDBDC9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229682C4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sectPr w:rsidR="00B85EE5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1146" w14:textId="77777777" w:rsidR="00C61CEA" w:rsidRDefault="00C61CEA">
      <w:pPr>
        <w:spacing w:after="0" w:line="240" w:lineRule="auto"/>
      </w:pPr>
      <w:r>
        <w:separator/>
      </w:r>
    </w:p>
  </w:endnote>
  <w:endnote w:type="continuationSeparator" w:id="0">
    <w:p w14:paraId="502074CB" w14:textId="77777777" w:rsidR="00C61CEA" w:rsidRDefault="00C6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1BDD1" w14:textId="77777777" w:rsidR="00C61CEA" w:rsidRDefault="00C61CEA">
      <w:pPr>
        <w:spacing w:after="0" w:line="240" w:lineRule="auto"/>
      </w:pPr>
      <w:r>
        <w:separator/>
      </w:r>
    </w:p>
  </w:footnote>
  <w:footnote w:type="continuationSeparator" w:id="0">
    <w:p w14:paraId="50DAED6E" w14:textId="77777777" w:rsidR="00C61CEA" w:rsidRDefault="00C6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241C59"/>
    <w:rsid w:val="002A77C9"/>
    <w:rsid w:val="002B5465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44F7B"/>
    <w:rsid w:val="006B5DE7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C719D"/>
    <w:rsid w:val="00BD36AF"/>
    <w:rsid w:val="00C0722B"/>
    <w:rsid w:val="00C61CEA"/>
    <w:rsid w:val="00DA2440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2020-04-22T15:15:00Z</cp:lastPrinted>
  <dcterms:created xsi:type="dcterms:W3CDTF">2020-07-08T02:43:00Z</dcterms:created>
  <dcterms:modified xsi:type="dcterms:W3CDTF">2020-10-20T01:15:00Z</dcterms:modified>
</cp:coreProperties>
</file>